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9D19" w14:textId="77777777" w:rsidR="00A646C6" w:rsidRPr="00C7246D" w:rsidRDefault="00A646C6" w:rsidP="00A646C6">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120"/>
          <w:szCs w:val="120"/>
          <w:lang w:val="en-US" w:eastAsia="en-GB"/>
        </w:rPr>
      </w:pPr>
      <w:r w:rsidRPr="00C7246D">
        <w:rPr>
          <w:rFonts w:ascii="Calibri" w:eastAsiaTheme="minorEastAsia" w:hAnsi="Calibri" w:cs="Calibri"/>
          <w:b/>
          <w:bCs/>
          <w:color w:val="000000"/>
          <w:kern w:val="28"/>
          <w:sz w:val="120"/>
          <w:szCs w:val="120"/>
          <w:lang w:val="en-US" w:eastAsia="en-GB"/>
        </w:rPr>
        <w:t>The Levett School</w:t>
      </w:r>
    </w:p>
    <w:p w14:paraId="672A6659" w14:textId="320EC7B3" w:rsidR="00A646C6" w:rsidRPr="006D130A" w:rsidRDefault="00A646C6" w:rsidP="00A646C6">
      <w:pPr>
        <w:widowControl w:val="0"/>
        <w:overflowPunct w:val="0"/>
        <w:autoSpaceDE w:val="0"/>
        <w:autoSpaceDN w:val="0"/>
        <w:adjustRightInd w:val="0"/>
        <w:spacing w:after="0" w:line="240" w:lineRule="auto"/>
        <w:jc w:val="center"/>
      </w:pPr>
    </w:p>
    <w:p w14:paraId="0A37501D" w14:textId="2369B7D0" w:rsidR="00A646C6" w:rsidRDefault="176C7686" w:rsidP="4F99B62C">
      <w:pPr>
        <w:widowControl w:val="0"/>
        <w:overflowPunct w:val="0"/>
        <w:autoSpaceDE w:val="0"/>
        <w:autoSpaceDN w:val="0"/>
        <w:adjustRightInd w:val="0"/>
        <w:spacing w:after="0" w:line="240" w:lineRule="auto"/>
        <w:jc w:val="center"/>
      </w:pPr>
      <w:r>
        <w:rPr>
          <w:noProof/>
        </w:rPr>
        <w:drawing>
          <wp:inline distT="0" distB="0" distL="0" distR="0" wp14:anchorId="114E2A1C" wp14:editId="4F99B62C">
            <wp:extent cx="4204970" cy="2528570"/>
            <wp:effectExtent l="0" t="0" r="0" b="0"/>
            <wp:docPr id="1270365467" name="Picture 127036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04970" cy="2528570"/>
                    </a:xfrm>
                    <a:prstGeom prst="rect">
                      <a:avLst/>
                    </a:prstGeom>
                  </pic:spPr>
                </pic:pic>
              </a:graphicData>
            </a:graphic>
          </wp:inline>
        </w:drawing>
      </w:r>
    </w:p>
    <w:p w14:paraId="5DAB6C7B" w14:textId="77777777" w:rsidR="00A646C6" w:rsidRDefault="00A646C6" w:rsidP="00A646C6">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16"/>
          <w:szCs w:val="16"/>
          <w:lang w:val="en-US" w:eastAsia="en-GB"/>
        </w:rPr>
      </w:pPr>
    </w:p>
    <w:p w14:paraId="02EB378F" w14:textId="77777777" w:rsidR="00A646C6" w:rsidRPr="000C28B9" w:rsidRDefault="00A646C6" w:rsidP="00A646C6">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16"/>
          <w:szCs w:val="16"/>
          <w:lang w:val="en-US" w:eastAsia="en-GB"/>
        </w:rPr>
      </w:pPr>
    </w:p>
    <w:p w14:paraId="196F66E7" w14:textId="7C464736" w:rsidR="00A646C6" w:rsidRPr="00A646C6" w:rsidRDefault="00622CC5" w:rsidP="00A646C6">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96"/>
          <w:szCs w:val="96"/>
          <w:lang w:val="en-US" w:eastAsia="en-GB"/>
        </w:rPr>
      </w:pPr>
      <w:r>
        <w:rPr>
          <w:rFonts w:ascii="Calibri" w:eastAsiaTheme="minorEastAsia" w:hAnsi="Calibri" w:cs="Calibri"/>
          <w:b/>
          <w:bCs/>
          <w:color w:val="000000"/>
          <w:kern w:val="28"/>
          <w:sz w:val="96"/>
          <w:szCs w:val="96"/>
          <w:lang w:val="en-US" w:eastAsia="en-GB"/>
        </w:rPr>
        <w:t>Charging &amp; Remission</w:t>
      </w:r>
      <w:r w:rsidR="00A646C6" w:rsidRPr="00A646C6">
        <w:rPr>
          <w:rFonts w:ascii="Calibri" w:eastAsiaTheme="minorEastAsia" w:hAnsi="Calibri" w:cs="Calibri"/>
          <w:b/>
          <w:bCs/>
          <w:color w:val="000000"/>
          <w:kern w:val="28"/>
          <w:sz w:val="96"/>
          <w:szCs w:val="96"/>
          <w:lang w:val="en-US" w:eastAsia="en-GB"/>
        </w:rPr>
        <w:t xml:space="preserve"> Policy</w:t>
      </w:r>
    </w:p>
    <w:p w14:paraId="6A05A809" w14:textId="77777777" w:rsidR="00A646C6" w:rsidRPr="00A646C6" w:rsidRDefault="00A646C6" w:rsidP="00A646C6">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24"/>
          <w:szCs w:val="24"/>
          <w:lang w:val="en-US" w:eastAsia="en-GB"/>
        </w:rPr>
      </w:pPr>
    </w:p>
    <w:tbl>
      <w:tblPr>
        <w:tblpPr w:leftFromText="180" w:rightFromText="180" w:vertAnchor="text" w:horzAnchor="margin" w:tblpXSpec="center" w:tblpY="12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209"/>
        <w:gridCol w:w="5142"/>
      </w:tblGrid>
      <w:tr w:rsidR="00E34C98" w:rsidRPr="006D130A" w14:paraId="7CB97B5A" w14:textId="77777777" w:rsidTr="000B5DBD">
        <w:trPr>
          <w:trHeight w:val="470"/>
        </w:trPr>
        <w:tc>
          <w:tcPr>
            <w:tcW w:w="4209" w:type="dxa"/>
            <w:shd w:val="clear" w:color="auto" w:fill="D9E2F3"/>
          </w:tcPr>
          <w:p w14:paraId="5B6FD980" w14:textId="77777777" w:rsidR="00E34C98" w:rsidRPr="00C25532" w:rsidRDefault="00E34C98" w:rsidP="000B5DBD">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Policy agreed</w:t>
            </w:r>
            <w:r>
              <w:rPr>
                <w:rFonts w:eastAsia="Times New Roman" w:cs="Calibri"/>
                <w:b/>
                <w:i/>
                <w:color w:val="000000"/>
                <w:kern w:val="28"/>
                <w:sz w:val="20"/>
                <w:szCs w:val="20"/>
                <w:lang w:eastAsia="en-GB"/>
              </w:rPr>
              <w:t xml:space="preserve"> by Governors</w:t>
            </w:r>
            <w:r w:rsidRPr="00C25532">
              <w:rPr>
                <w:rFonts w:eastAsia="Times New Roman" w:cs="Calibri"/>
                <w:b/>
                <w:i/>
                <w:color w:val="000000"/>
                <w:kern w:val="28"/>
                <w:sz w:val="20"/>
                <w:szCs w:val="20"/>
                <w:lang w:eastAsia="en-GB"/>
              </w:rPr>
              <w:t xml:space="preserve"> on:</w:t>
            </w:r>
          </w:p>
        </w:tc>
        <w:tc>
          <w:tcPr>
            <w:tcW w:w="5142" w:type="dxa"/>
            <w:shd w:val="clear" w:color="auto" w:fill="D9E2F3"/>
          </w:tcPr>
          <w:p w14:paraId="6CF7E282" w14:textId="3655FB09" w:rsidR="00E34C98" w:rsidRPr="00C25532" w:rsidRDefault="00D63F49" w:rsidP="000B5DBD">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01.07.2025</w:t>
            </w:r>
          </w:p>
        </w:tc>
      </w:tr>
      <w:tr w:rsidR="00E34C98" w:rsidRPr="006D130A" w14:paraId="06C15A07" w14:textId="77777777" w:rsidTr="000B5DBD">
        <w:trPr>
          <w:trHeight w:val="532"/>
        </w:trPr>
        <w:tc>
          <w:tcPr>
            <w:tcW w:w="4209" w:type="dxa"/>
            <w:shd w:val="clear" w:color="auto" w:fill="D9E2F3"/>
          </w:tcPr>
          <w:p w14:paraId="72BE1BB6" w14:textId="77777777" w:rsidR="00E34C98" w:rsidRPr="00C25532" w:rsidRDefault="00E34C98" w:rsidP="000B5DBD">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Review date for Governors:</w:t>
            </w:r>
          </w:p>
        </w:tc>
        <w:tc>
          <w:tcPr>
            <w:tcW w:w="5142" w:type="dxa"/>
            <w:shd w:val="clear" w:color="auto" w:fill="auto"/>
          </w:tcPr>
          <w:p w14:paraId="023A043D" w14:textId="06D399EE" w:rsidR="00E34C98" w:rsidRPr="00C25532" w:rsidRDefault="00D63F49" w:rsidP="000B5DBD">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01.07.2027</w:t>
            </w:r>
          </w:p>
        </w:tc>
      </w:tr>
      <w:tr w:rsidR="00E34C98" w:rsidRPr="006D130A" w14:paraId="731250FF" w14:textId="77777777" w:rsidTr="000B5DBD">
        <w:trPr>
          <w:trHeight w:val="511"/>
        </w:trPr>
        <w:tc>
          <w:tcPr>
            <w:tcW w:w="4209" w:type="dxa"/>
            <w:shd w:val="clear" w:color="auto" w:fill="D9E2F3"/>
          </w:tcPr>
          <w:p w14:paraId="42A7650F" w14:textId="77777777" w:rsidR="00E34C98" w:rsidRPr="00C25532" w:rsidRDefault="00E34C98" w:rsidP="000B5DBD">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Allocated Group/Person to Review:</w:t>
            </w:r>
          </w:p>
        </w:tc>
        <w:tc>
          <w:tcPr>
            <w:tcW w:w="5142" w:type="dxa"/>
            <w:shd w:val="clear" w:color="auto" w:fill="D9E2F3"/>
          </w:tcPr>
          <w:p w14:paraId="2ADCC8DB" w14:textId="3BF6036A" w:rsidR="00E34C98" w:rsidRPr="00C25532" w:rsidRDefault="00E34C98" w:rsidP="000B5DBD">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Bev Jones</w:t>
            </w:r>
          </w:p>
        </w:tc>
      </w:tr>
      <w:tr w:rsidR="00E34C98" w:rsidRPr="006D130A" w14:paraId="023E45D9" w14:textId="77777777" w:rsidTr="000B5DBD">
        <w:trPr>
          <w:trHeight w:val="532"/>
        </w:trPr>
        <w:tc>
          <w:tcPr>
            <w:tcW w:w="4209" w:type="dxa"/>
            <w:shd w:val="clear" w:color="auto" w:fill="D9E2F3"/>
          </w:tcPr>
          <w:p w14:paraId="20BA45DE" w14:textId="77777777" w:rsidR="00E34C98" w:rsidRPr="00AC01B0" w:rsidRDefault="00E34C98" w:rsidP="000B5DBD">
            <w:pPr>
              <w:widowControl w:val="0"/>
              <w:overflowPunct w:val="0"/>
              <w:autoSpaceDE w:val="0"/>
              <w:autoSpaceDN w:val="0"/>
              <w:adjustRightInd w:val="0"/>
              <w:spacing w:after="120" w:line="285" w:lineRule="auto"/>
              <w:rPr>
                <w:rFonts w:eastAsia="Times New Roman"/>
                <w:b/>
                <w:i/>
                <w:sz w:val="20"/>
                <w:szCs w:val="20"/>
                <w:lang w:eastAsia="en-GB"/>
              </w:rPr>
            </w:pPr>
            <w:r w:rsidRPr="00AC01B0">
              <w:rPr>
                <w:rFonts w:eastAsia="Times New Roman"/>
                <w:b/>
                <w:i/>
                <w:sz w:val="20"/>
                <w:szCs w:val="20"/>
                <w:lang w:eastAsia="en-GB"/>
              </w:rPr>
              <w:t>Agreed frequency of Review, by allocated person:</w:t>
            </w:r>
          </w:p>
        </w:tc>
        <w:tc>
          <w:tcPr>
            <w:tcW w:w="5142" w:type="dxa"/>
            <w:shd w:val="clear" w:color="auto" w:fill="auto"/>
          </w:tcPr>
          <w:p w14:paraId="2517199C" w14:textId="23FDA40F" w:rsidR="00E34C98" w:rsidRPr="00C25532" w:rsidRDefault="00E34C98" w:rsidP="000B5DBD">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Every Two Years</w:t>
            </w:r>
          </w:p>
        </w:tc>
      </w:tr>
      <w:tr w:rsidR="00E34C98" w:rsidRPr="006D130A" w14:paraId="1307CE02" w14:textId="77777777" w:rsidTr="000B5DBD">
        <w:trPr>
          <w:trHeight w:val="532"/>
        </w:trPr>
        <w:tc>
          <w:tcPr>
            <w:tcW w:w="4209" w:type="dxa"/>
            <w:shd w:val="clear" w:color="auto" w:fill="D9E2F3"/>
          </w:tcPr>
          <w:p w14:paraId="2A0A56F2" w14:textId="77777777" w:rsidR="00E34C98" w:rsidRPr="00C25532" w:rsidRDefault="00E34C98" w:rsidP="000B5DBD">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Last Review date: </w:t>
            </w:r>
          </w:p>
        </w:tc>
        <w:tc>
          <w:tcPr>
            <w:tcW w:w="5142" w:type="dxa"/>
            <w:shd w:val="clear" w:color="auto" w:fill="D9E2F3"/>
          </w:tcPr>
          <w:p w14:paraId="69B655D5" w14:textId="01B433D4" w:rsidR="00E34C98" w:rsidRPr="00C25532" w:rsidRDefault="00820C13" w:rsidP="000B5DBD">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28.04.2025</w:t>
            </w:r>
          </w:p>
        </w:tc>
      </w:tr>
    </w:tbl>
    <w:p w14:paraId="0D0B940D" w14:textId="77777777" w:rsidR="00A646C6" w:rsidRDefault="00A646C6" w:rsidP="00A646C6">
      <w:pPr>
        <w:widowControl w:val="0"/>
        <w:overflowPunct w:val="0"/>
        <w:autoSpaceDE w:val="0"/>
        <w:autoSpaceDN w:val="0"/>
        <w:adjustRightInd w:val="0"/>
        <w:spacing w:after="0" w:line="285" w:lineRule="auto"/>
        <w:jc w:val="center"/>
        <w:rPr>
          <w:rFonts w:ascii="Calibri" w:eastAsiaTheme="minorEastAsia" w:hAnsi="Calibri" w:cs="Calibri"/>
          <w:b/>
          <w:bCs/>
          <w:color w:val="000000"/>
          <w:kern w:val="28"/>
          <w:lang w:eastAsia="en-GB"/>
        </w:rPr>
      </w:pPr>
    </w:p>
    <w:p w14:paraId="5FF0529E" w14:textId="77777777" w:rsidR="00A646C6" w:rsidRPr="006D130A" w:rsidRDefault="00A646C6" w:rsidP="00A646C6">
      <w:pPr>
        <w:widowControl w:val="0"/>
        <w:overflowPunct w:val="0"/>
        <w:autoSpaceDE w:val="0"/>
        <w:autoSpaceDN w:val="0"/>
        <w:adjustRightInd w:val="0"/>
        <w:spacing w:after="0" w:line="285" w:lineRule="auto"/>
        <w:jc w:val="center"/>
        <w:rPr>
          <w:rFonts w:ascii="Calibri" w:eastAsiaTheme="minorEastAsia" w:hAnsi="Calibri" w:cs="Calibri"/>
          <w:b/>
          <w:bCs/>
          <w:color w:val="000000"/>
          <w:kern w:val="28"/>
          <w:lang w:eastAsia="en-GB"/>
        </w:rPr>
      </w:pPr>
      <w:r w:rsidRPr="006D130A">
        <w:rPr>
          <w:rFonts w:ascii="Calibri" w:eastAsiaTheme="minorEastAsia" w:hAnsi="Calibri" w:cs="Calibri"/>
          <w:b/>
          <w:bCs/>
          <w:color w:val="000000"/>
          <w:kern w:val="28"/>
          <w:lang w:eastAsia="en-GB"/>
        </w:rPr>
        <w:t>The Levett School, Melton Road, Sprotbrough, Doncaster, DN5 7SB</w:t>
      </w:r>
    </w:p>
    <w:p w14:paraId="0E27B00A" w14:textId="77777777" w:rsidR="00A646C6" w:rsidRDefault="00A646C6" w:rsidP="00A646C6"/>
    <w:p w14:paraId="60061E4C" w14:textId="77777777" w:rsidR="00A646C6" w:rsidRDefault="00A646C6" w:rsidP="00A646C6"/>
    <w:p w14:paraId="1F15F666" w14:textId="77777777" w:rsidR="00672387" w:rsidRPr="00672387" w:rsidRDefault="00672387" w:rsidP="00672387">
      <w:pPr>
        <w:pStyle w:val="Footer"/>
        <w:jc w:val="center"/>
        <w:rPr>
          <w:rFonts w:cs="Arial"/>
          <w:b/>
          <w:bCs/>
          <w:sz w:val="28"/>
          <w:szCs w:val="28"/>
        </w:rPr>
      </w:pPr>
      <w:r w:rsidRPr="00672387">
        <w:rPr>
          <w:rFonts w:cs="Arial"/>
          <w:b/>
          <w:bCs/>
          <w:sz w:val="28"/>
          <w:szCs w:val="28"/>
        </w:rPr>
        <w:lastRenderedPageBreak/>
        <w:t>CHARGING POLICY</w:t>
      </w:r>
    </w:p>
    <w:p w14:paraId="289A5896" w14:textId="77777777" w:rsidR="00672387" w:rsidRPr="00C200DB" w:rsidRDefault="00672387" w:rsidP="00672387">
      <w:pPr>
        <w:pStyle w:val="Footer"/>
        <w:rPr>
          <w:rFonts w:cs="Arial"/>
        </w:rPr>
      </w:pPr>
    </w:p>
    <w:p w14:paraId="44452871" w14:textId="77777777" w:rsidR="00672387" w:rsidRPr="00C200DB" w:rsidRDefault="00672387" w:rsidP="009B26B2">
      <w:pPr>
        <w:pStyle w:val="Footer"/>
        <w:jc w:val="both"/>
        <w:rPr>
          <w:rFonts w:cs="Arial"/>
        </w:rPr>
      </w:pPr>
      <w:r w:rsidRPr="00C200DB">
        <w:rPr>
          <w:rFonts w:cs="Arial"/>
        </w:rPr>
        <w:t>This Charging Policy informs staff and parents about charging for school activities. It conforms to guidance included in the Scheme for Financing Schools and the Guide to the Law for School Governors.</w:t>
      </w:r>
    </w:p>
    <w:p w14:paraId="2C2D4880" w14:textId="77777777" w:rsidR="00672387" w:rsidRPr="00C200DB" w:rsidRDefault="00672387" w:rsidP="009B26B2">
      <w:pPr>
        <w:pStyle w:val="Footer"/>
        <w:jc w:val="both"/>
        <w:rPr>
          <w:rFonts w:cs="Arial"/>
        </w:rPr>
      </w:pPr>
    </w:p>
    <w:p w14:paraId="60431AFC" w14:textId="77777777" w:rsidR="00672387" w:rsidRPr="00C200DB" w:rsidRDefault="00672387" w:rsidP="009B26B2">
      <w:pPr>
        <w:pStyle w:val="Footer"/>
        <w:jc w:val="both"/>
        <w:rPr>
          <w:rFonts w:cs="Arial"/>
        </w:rPr>
      </w:pPr>
      <w:r w:rsidRPr="00C200DB">
        <w:rPr>
          <w:rFonts w:cs="Arial"/>
        </w:rPr>
        <w:t>The school’s charging policy is based on the following:</w:t>
      </w:r>
    </w:p>
    <w:p w14:paraId="096F1024" w14:textId="77777777" w:rsidR="00672387" w:rsidRPr="00C200DB" w:rsidRDefault="00672387" w:rsidP="009B26B2">
      <w:pPr>
        <w:pStyle w:val="Footer"/>
        <w:jc w:val="both"/>
        <w:rPr>
          <w:rFonts w:cs="Arial"/>
        </w:rPr>
      </w:pPr>
    </w:p>
    <w:p w14:paraId="04CAD959" w14:textId="77777777" w:rsidR="00672387" w:rsidRPr="00C200DB" w:rsidRDefault="00672387" w:rsidP="009B26B2">
      <w:pPr>
        <w:pStyle w:val="Footer"/>
        <w:jc w:val="both"/>
        <w:rPr>
          <w:rFonts w:cs="Arial"/>
        </w:rPr>
      </w:pPr>
      <w:r w:rsidRPr="00C200DB">
        <w:rPr>
          <w:rFonts w:cs="Arial"/>
        </w:rPr>
        <w:t xml:space="preserve">That no charge is made for provision of education during school hours except where teaching individual pupils or groups of up to four to play a musical instrument if the teaching is not an essential part of the National Curriculum or a public examination syllabus being followed by the pupil. </w:t>
      </w:r>
    </w:p>
    <w:p w14:paraId="7500DB82" w14:textId="77777777" w:rsidR="00672387" w:rsidRPr="00C200DB" w:rsidRDefault="00672387" w:rsidP="009B26B2">
      <w:pPr>
        <w:pStyle w:val="Footer"/>
        <w:jc w:val="both"/>
        <w:rPr>
          <w:rFonts w:cs="Arial"/>
        </w:rPr>
      </w:pPr>
    </w:p>
    <w:p w14:paraId="3CF20290" w14:textId="77777777" w:rsidR="00672387" w:rsidRPr="00C200DB" w:rsidRDefault="00672387" w:rsidP="009B26B2">
      <w:pPr>
        <w:pStyle w:val="Footer"/>
        <w:jc w:val="both"/>
        <w:rPr>
          <w:rFonts w:cs="Arial"/>
        </w:rPr>
      </w:pPr>
      <w:r w:rsidRPr="00C200DB">
        <w:rPr>
          <w:rFonts w:cs="Arial"/>
        </w:rPr>
        <w:t>No charge is made for activities that are an essential part of the syllabus for an approved examination.</w:t>
      </w:r>
    </w:p>
    <w:p w14:paraId="2B591D5D" w14:textId="77777777" w:rsidR="00672387" w:rsidRPr="00C200DB" w:rsidRDefault="00672387" w:rsidP="009B26B2">
      <w:pPr>
        <w:pStyle w:val="Footer"/>
        <w:jc w:val="both"/>
        <w:rPr>
          <w:rFonts w:cs="Arial"/>
        </w:rPr>
      </w:pPr>
    </w:p>
    <w:p w14:paraId="14C84477" w14:textId="77777777" w:rsidR="00672387" w:rsidRPr="00C200DB" w:rsidRDefault="00672387" w:rsidP="009B26B2">
      <w:pPr>
        <w:pStyle w:val="Footer"/>
        <w:jc w:val="both"/>
        <w:rPr>
          <w:rFonts w:cs="Arial"/>
        </w:rPr>
      </w:pPr>
      <w:r w:rsidRPr="00C200DB">
        <w:rPr>
          <w:rFonts w:cs="Arial"/>
        </w:rPr>
        <w:t>The school operates the discretion to invite parents to make voluntary contributions for school time activities.</w:t>
      </w:r>
    </w:p>
    <w:p w14:paraId="61F74E3D" w14:textId="77777777" w:rsidR="00672387" w:rsidRPr="00C200DB" w:rsidRDefault="00672387" w:rsidP="009B26B2">
      <w:pPr>
        <w:pStyle w:val="Footer"/>
        <w:jc w:val="both"/>
        <w:rPr>
          <w:rFonts w:cs="Arial"/>
        </w:rPr>
      </w:pPr>
    </w:p>
    <w:p w14:paraId="67815F29" w14:textId="63C0786E" w:rsidR="00672387" w:rsidRPr="00C200DB" w:rsidRDefault="00672387" w:rsidP="009B26B2">
      <w:pPr>
        <w:pStyle w:val="Footer"/>
        <w:jc w:val="both"/>
        <w:rPr>
          <w:rFonts w:cs="Arial"/>
        </w:rPr>
      </w:pPr>
      <w:r w:rsidRPr="00C200DB">
        <w:rPr>
          <w:rFonts w:cs="Arial"/>
        </w:rPr>
        <w:t>Charges are made for activities that happen outside of school hours when these activities are not a necessary part of the national curriculum or do not form part of the school’s basic curriculum for religious education.</w:t>
      </w:r>
      <w:r w:rsidR="00E02B1E">
        <w:rPr>
          <w:rFonts w:cs="Arial"/>
        </w:rPr>
        <w:t xml:space="preserve"> </w:t>
      </w:r>
      <w:r w:rsidR="00E02B1E" w:rsidRPr="00E02B1E">
        <w:rPr>
          <w:rFonts w:cs="Arial"/>
        </w:rPr>
        <w:t>Extended Schools – Breakfast Club and After school provision are not currently offered at The Levett School.</w:t>
      </w:r>
    </w:p>
    <w:p w14:paraId="692CA266" w14:textId="77777777" w:rsidR="00672387" w:rsidRPr="00C200DB" w:rsidRDefault="00672387" w:rsidP="009B26B2">
      <w:pPr>
        <w:pStyle w:val="Footer"/>
        <w:jc w:val="both"/>
        <w:rPr>
          <w:rFonts w:cs="Arial"/>
        </w:rPr>
      </w:pPr>
    </w:p>
    <w:p w14:paraId="705F2294" w14:textId="77777777" w:rsidR="00672387" w:rsidRPr="00C200DB" w:rsidRDefault="00672387" w:rsidP="009B26B2">
      <w:pPr>
        <w:pStyle w:val="Footer"/>
        <w:jc w:val="both"/>
        <w:rPr>
          <w:rFonts w:cs="Arial"/>
          <w:b/>
          <w:bCs/>
        </w:rPr>
      </w:pPr>
      <w:r w:rsidRPr="00C200DB">
        <w:rPr>
          <w:rFonts w:cs="Arial"/>
          <w:b/>
          <w:bCs/>
        </w:rPr>
        <w:t>Charging for School Activities</w:t>
      </w:r>
    </w:p>
    <w:p w14:paraId="0CBE8DD1" w14:textId="77777777" w:rsidR="00672387" w:rsidRPr="00C200DB" w:rsidRDefault="00672387" w:rsidP="009B26B2">
      <w:pPr>
        <w:pStyle w:val="Footer"/>
        <w:jc w:val="both"/>
        <w:rPr>
          <w:rFonts w:cs="Arial"/>
        </w:rPr>
      </w:pPr>
    </w:p>
    <w:p w14:paraId="05533CC2" w14:textId="77777777" w:rsidR="00672387" w:rsidRPr="00C200DB" w:rsidRDefault="00672387" w:rsidP="009B26B2">
      <w:pPr>
        <w:pStyle w:val="Footer"/>
        <w:jc w:val="both"/>
        <w:rPr>
          <w:rFonts w:cs="Arial"/>
        </w:rPr>
      </w:pPr>
      <w:r w:rsidRPr="00C200DB">
        <w:rPr>
          <w:rFonts w:cs="Arial"/>
        </w:rPr>
        <w:t>Charges are made as follows at the discretion of the Governing Body as to which activities may be the subject of a charge and which may be funded from the delegated budget.</w:t>
      </w:r>
    </w:p>
    <w:p w14:paraId="654E89EF" w14:textId="77777777" w:rsidR="00672387" w:rsidRPr="00C200DB" w:rsidRDefault="00672387" w:rsidP="009B26B2">
      <w:pPr>
        <w:pStyle w:val="Footer"/>
        <w:jc w:val="both"/>
        <w:rPr>
          <w:rFonts w:cs="Arial"/>
        </w:rPr>
      </w:pPr>
    </w:p>
    <w:p w14:paraId="110E7D27" w14:textId="77777777" w:rsidR="00672387" w:rsidRPr="00C200DB" w:rsidRDefault="00672387" w:rsidP="009B26B2">
      <w:pPr>
        <w:pStyle w:val="Footer"/>
        <w:jc w:val="both"/>
        <w:rPr>
          <w:rFonts w:cs="Arial"/>
          <w:b/>
          <w:bCs/>
        </w:rPr>
      </w:pPr>
      <w:r w:rsidRPr="00C200DB">
        <w:rPr>
          <w:rFonts w:cs="Arial"/>
          <w:b/>
          <w:bCs/>
        </w:rPr>
        <w:t>School Visits</w:t>
      </w:r>
    </w:p>
    <w:p w14:paraId="73E40726" w14:textId="77777777" w:rsidR="00672387" w:rsidRPr="00C200DB" w:rsidRDefault="00672387" w:rsidP="009B26B2">
      <w:pPr>
        <w:pStyle w:val="Footer"/>
        <w:jc w:val="both"/>
        <w:rPr>
          <w:rFonts w:cs="Arial"/>
        </w:rPr>
      </w:pPr>
    </w:p>
    <w:p w14:paraId="0DF32FAC" w14:textId="77777777" w:rsidR="00672387" w:rsidRPr="00C200DB" w:rsidRDefault="00672387" w:rsidP="009B26B2">
      <w:pPr>
        <w:pStyle w:val="Footer"/>
        <w:jc w:val="both"/>
        <w:rPr>
          <w:rFonts w:cs="Arial"/>
        </w:rPr>
      </w:pPr>
      <w:r w:rsidRPr="00C200DB">
        <w:rPr>
          <w:rFonts w:cs="Arial"/>
        </w:rPr>
        <w:t xml:space="preserve">Costs incurred for the board and lodging element of residential trips during school time are passed on to parents, subject to the remissions policy. </w:t>
      </w:r>
    </w:p>
    <w:p w14:paraId="45789E7E" w14:textId="77777777" w:rsidR="00672387" w:rsidRPr="00C200DB" w:rsidRDefault="00672387" w:rsidP="009B26B2">
      <w:pPr>
        <w:pStyle w:val="Footer"/>
        <w:jc w:val="both"/>
        <w:rPr>
          <w:rFonts w:cs="Arial"/>
        </w:rPr>
      </w:pPr>
    </w:p>
    <w:p w14:paraId="3F652CC7" w14:textId="77777777" w:rsidR="00672387" w:rsidRPr="00C200DB" w:rsidRDefault="00672387" w:rsidP="009B26B2">
      <w:pPr>
        <w:pStyle w:val="Footer"/>
        <w:jc w:val="both"/>
        <w:rPr>
          <w:rFonts w:cs="Arial"/>
        </w:rPr>
      </w:pPr>
      <w:r w:rsidRPr="00C200DB">
        <w:rPr>
          <w:rFonts w:cs="Arial"/>
        </w:rPr>
        <w:t>Costs incurred for residential or other visits held out of school times that are regarded as “optional extras” are passed on to parents in full. When such visits are provided as a required part of the syllabus for a prescribed public examination, or required in relation to the National Curriculum or religious education, then only the board and lodging element is passed on.</w:t>
      </w:r>
    </w:p>
    <w:p w14:paraId="2773A270" w14:textId="77777777" w:rsidR="00672387" w:rsidRPr="00C200DB" w:rsidRDefault="00672387" w:rsidP="009B26B2">
      <w:pPr>
        <w:pStyle w:val="Footer"/>
        <w:jc w:val="both"/>
        <w:rPr>
          <w:rFonts w:cs="Arial"/>
        </w:rPr>
      </w:pPr>
    </w:p>
    <w:p w14:paraId="1A2B7BDB" w14:textId="77777777" w:rsidR="00672387" w:rsidRPr="00C200DB" w:rsidRDefault="00672387" w:rsidP="009B26B2">
      <w:pPr>
        <w:pStyle w:val="Footer"/>
        <w:jc w:val="both"/>
        <w:rPr>
          <w:rFonts w:cs="Arial"/>
        </w:rPr>
      </w:pPr>
      <w:r w:rsidRPr="00C200DB">
        <w:rPr>
          <w:rFonts w:cs="Arial"/>
        </w:rPr>
        <w:t>Parents are notified in advance of all activities and events, which require special financial considerations. The notification includes a description of the activities to be undertaken and the anticipated costs (per pupil) involved. It also includes information on who might qualify for help with the cost.</w:t>
      </w:r>
    </w:p>
    <w:p w14:paraId="113B39E2" w14:textId="3823F0C3" w:rsidR="00672387" w:rsidRPr="00C200DB" w:rsidRDefault="00672387" w:rsidP="009B26B2">
      <w:pPr>
        <w:pStyle w:val="Footer"/>
        <w:jc w:val="both"/>
        <w:rPr>
          <w:rFonts w:cs="Arial"/>
        </w:rPr>
      </w:pPr>
    </w:p>
    <w:p w14:paraId="282844DB" w14:textId="77777777" w:rsidR="00672387" w:rsidRPr="00C200DB" w:rsidRDefault="00672387" w:rsidP="009B26B2">
      <w:pPr>
        <w:pStyle w:val="Footer"/>
        <w:jc w:val="both"/>
        <w:rPr>
          <w:rFonts w:cs="Arial"/>
          <w:b/>
          <w:bCs/>
        </w:rPr>
      </w:pPr>
      <w:r w:rsidRPr="00C200DB">
        <w:rPr>
          <w:rFonts w:cs="Arial"/>
          <w:b/>
          <w:bCs/>
        </w:rPr>
        <w:t>Voluntary Contributions</w:t>
      </w:r>
    </w:p>
    <w:p w14:paraId="2BE6506A" w14:textId="77777777" w:rsidR="00672387" w:rsidRPr="00C200DB" w:rsidRDefault="00672387" w:rsidP="009B26B2">
      <w:pPr>
        <w:pStyle w:val="Footer"/>
        <w:jc w:val="both"/>
        <w:rPr>
          <w:rFonts w:cs="Arial"/>
        </w:rPr>
      </w:pPr>
    </w:p>
    <w:p w14:paraId="3DA7B798" w14:textId="77777777" w:rsidR="00672387" w:rsidRPr="00C200DB" w:rsidRDefault="00672387" w:rsidP="009B26B2">
      <w:pPr>
        <w:pStyle w:val="Footer"/>
        <w:jc w:val="both"/>
        <w:rPr>
          <w:rFonts w:cs="Arial"/>
        </w:rPr>
      </w:pPr>
      <w:r w:rsidRPr="00C200DB">
        <w:rPr>
          <w:rFonts w:cs="Arial"/>
        </w:rPr>
        <w:t>Where voluntary contributions are sought the following points are taken into account:</w:t>
      </w:r>
    </w:p>
    <w:p w14:paraId="663B07D3" w14:textId="77777777" w:rsidR="00672387" w:rsidRPr="00C200DB" w:rsidRDefault="00672387" w:rsidP="009B26B2">
      <w:pPr>
        <w:pStyle w:val="Footer"/>
        <w:jc w:val="both"/>
        <w:rPr>
          <w:rFonts w:cs="Arial"/>
        </w:rPr>
      </w:pPr>
    </w:p>
    <w:p w14:paraId="01A8200B" w14:textId="77777777" w:rsidR="00672387" w:rsidRPr="00C200DB" w:rsidRDefault="00672387" w:rsidP="009B26B2">
      <w:pPr>
        <w:pStyle w:val="Footer"/>
        <w:jc w:val="both"/>
        <w:rPr>
          <w:rFonts w:cs="Arial"/>
        </w:rPr>
      </w:pPr>
      <w:r w:rsidRPr="00C200DB">
        <w:rPr>
          <w:rFonts w:cs="Arial"/>
        </w:rPr>
        <w:t>Contributions from parents are only considered where the schools own resources are known to be inadequate to meet the desired range and level of service to be offered to pupils.</w:t>
      </w:r>
    </w:p>
    <w:p w14:paraId="29E1F92C" w14:textId="77777777" w:rsidR="00672387" w:rsidRPr="00C200DB" w:rsidRDefault="00672387" w:rsidP="009B26B2">
      <w:pPr>
        <w:pStyle w:val="Footer"/>
        <w:jc w:val="both"/>
        <w:rPr>
          <w:rFonts w:cs="Arial"/>
        </w:rPr>
      </w:pPr>
    </w:p>
    <w:p w14:paraId="5D20E925" w14:textId="77777777" w:rsidR="00672387" w:rsidRPr="00C200DB" w:rsidRDefault="00672387" w:rsidP="009B26B2">
      <w:pPr>
        <w:pStyle w:val="Footer"/>
        <w:jc w:val="both"/>
        <w:rPr>
          <w:rFonts w:cs="Arial"/>
        </w:rPr>
      </w:pPr>
      <w:r w:rsidRPr="00C200DB">
        <w:rPr>
          <w:rFonts w:cs="Arial"/>
        </w:rPr>
        <w:t>All requests to parents for contributions make it quite clear that the contributions are voluntary.</w:t>
      </w:r>
    </w:p>
    <w:p w14:paraId="529D25D1" w14:textId="77777777" w:rsidR="00672387" w:rsidRPr="00C200DB" w:rsidRDefault="00672387" w:rsidP="009B26B2">
      <w:pPr>
        <w:pStyle w:val="Footer"/>
        <w:jc w:val="both"/>
        <w:rPr>
          <w:rFonts w:cs="Arial"/>
        </w:rPr>
      </w:pPr>
    </w:p>
    <w:p w14:paraId="71C09E56" w14:textId="77777777" w:rsidR="00672387" w:rsidRPr="00850CAC" w:rsidRDefault="00672387" w:rsidP="009B26B2">
      <w:pPr>
        <w:pStyle w:val="Footer"/>
        <w:jc w:val="both"/>
        <w:rPr>
          <w:rFonts w:cs="Arial"/>
        </w:rPr>
      </w:pPr>
      <w:r w:rsidRPr="00850CAC">
        <w:rPr>
          <w:rFonts w:cs="Arial"/>
        </w:rPr>
        <w:lastRenderedPageBreak/>
        <w:t>Where voluntary contributions are invited no pupil is left out of an activity because his or her parents cannot or will not make a contribution of any kind.</w:t>
      </w:r>
    </w:p>
    <w:p w14:paraId="05873A2A" w14:textId="77777777" w:rsidR="00672387" w:rsidRPr="00850CAC" w:rsidRDefault="00672387" w:rsidP="009B26B2">
      <w:pPr>
        <w:pStyle w:val="Footer"/>
        <w:jc w:val="both"/>
        <w:rPr>
          <w:rFonts w:cs="Arial"/>
        </w:rPr>
      </w:pPr>
    </w:p>
    <w:p w14:paraId="2FCF068B" w14:textId="77777777" w:rsidR="00672387" w:rsidRPr="00850CAC" w:rsidRDefault="00672387" w:rsidP="009B26B2">
      <w:pPr>
        <w:pStyle w:val="Footer"/>
        <w:jc w:val="both"/>
        <w:rPr>
          <w:rFonts w:cs="Arial"/>
        </w:rPr>
      </w:pPr>
      <w:r w:rsidRPr="00850CAC">
        <w:rPr>
          <w:rFonts w:cs="Arial"/>
        </w:rPr>
        <w:t>Voluntary contributions aren’t sought from parents in receipt of benefits in line with the remission policy.</w:t>
      </w:r>
    </w:p>
    <w:p w14:paraId="343ADF8F" w14:textId="77777777" w:rsidR="00672387" w:rsidRPr="00850CAC" w:rsidRDefault="00672387" w:rsidP="009B26B2">
      <w:pPr>
        <w:pStyle w:val="Footer"/>
        <w:jc w:val="both"/>
        <w:rPr>
          <w:rFonts w:cs="Arial"/>
        </w:rPr>
      </w:pPr>
    </w:p>
    <w:p w14:paraId="519F3B5A" w14:textId="098BB235" w:rsidR="00672387" w:rsidRPr="00C200DB" w:rsidRDefault="00672387" w:rsidP="009B26B2">
      <w:pPr>
        <w:pStyle w:val="Footer"/>
        <w:jc w:val="both"/>
        <w:rPr>
          <w:rFonts w:cs="Arial"/>
        </w:rPr>
      </w:pPr>
      <w:r w:rsidRPr="00850CAC">
        <w:rPr>
          <w:rFonts w:cs="Arial"/>
        </w:rPr>
        <w:t>The following is a</w:t>
      </w:r>
      <w:r w:rsidRPr="00C200DB">
        <w:rPr>
          <w:rFonts w:cs="Arial"/>
        </w:rPr>
        <w:t xml:space="preserve"> list of activities organised by the school, for which voluntary contributions </w:t>
      </w:r>
      <w:r w:rsidR="00B22BC9">
        <w:rPr>
          <w:rFonts w:cs="Arial"/>
        </w:rPr>
        <w:t xml:space="preserve">may be </w:t>
      </w:r>
      <w:r w:rsidRPr="00C200DB">
        <w:rPr>
          <w:rFonts w:cs="Arial"/>
        </w:rPr>
        <w:t xml:space="preserve">requested from parents. </w:t>
      </w:r>
    </w:p>
    <w:p w14:paraId="64B4D3B2" w14:textId="77777777" w:rsidR="00672387" w:rsidRPr="0029510F" w:rsidRDefault="00672387" w:rsidP="009B26B2">
      <w:pPr>
        <w:pStyle w:val="Footer"/>
        <w:ind w:left="720"/>
        <w:jc w:val="both"/>
        <w:rPr>
          <w:rFonts w:cs="Arial"/>
          <w:color w:val="0000FF"/>
        </w:rPr>
      </w:pPr>
    </w:p>
    <w:p w14:paraId="082A3201" w14:textId="77777777" w:rsidR="00672387" w:rsidRPr="0029510F" w:rsidRDefault="00672387" w:rsidP="009B26B2">
      <w:pPr>
        <w:pStyle w:val="Footer"/>
        <w:numPr>
          <w:ilvl w:val="0"/>
          <w:numId w:val="2"/>
        </w:numPr>
        <w:tabs>
          <w:tab w:val="clear" w:pos="4513"/>
          <w:tab w:val="clear" w:pos="9026"/>
        </w:tabs>
        <w:jc w:val="both"/>
        <w:rPr>
          <w:rFonts w:cs="Arial"/>
          <w:color w:val="0000FF"/>
        </w:rPr>
      </w:pPr>
      <w:r w:rsidRPr="0029510F">
        <w:rPr>
          <w:rFonts w:cs="Arial"/>
          <w:color w:val="0000FF"/>
        </w:rPr>
        <w:t>School trips</w:t>
      </w:r>
    </w:p>
    <w:p w14:paraId="55CCF7C6" w14:textId="77777777" w:rsidR="00672387" w:rsidRPr="00C200DB" w:rsidRDefault="00672387" w:rsidP="009B26B2">
      <w:pPr>
        <w:pStyle w:val="Footer"/>
        <w:jc w:val="both"/>
        <w:rPr>
          <w:rFonts w:cs="Arial"/>
          <w:color w:val="3366FF"/>
        </w:rPr>
      </w:pPr>
    </w:p>
    <w:p w14:paraId="334A559A" w14:textId="77777777" w:rsidR="00672387" w:rsidRPr="00C200DB" w:rsidRDefault="00672387" w:rsidP="009B26B2">
      <w:pPr>
        <w:pStyle w:val="Footer"/>
        <w:jc w:val="both"/>
        <w:rPr>
          <w:rFonts w:cs="Arial"/>
          <w:b/>
          <w:bCs/>
        </w:rPr>
      </w:pPr>
      <w:r w:rsidRPr="00C200DB">
        <w:rPr>
          <w:rFonts w:cs="Arial"/>
          <w:b/>
          <w:bCs/>
        </w:rPr>
        <w:t>Remission of Charges</w:t>
      </w:r>
    </w:p>
    <w:p w14:paraId="45C2B349" w14:textId="77777777" w:rsidR="00672387" w:rsidRPr="00C200DB" w:rsidRDefault="00672387" w:rsidP="009B26B2">
      <w:pPr>
        <w:pStyle w:val="Footer"/>
        <w:jc w:val="both"/>
        <w:rPr>
          <w:rFonts w:cs="Arial"/>
        </w:rPr>
      </w:pPr>
    </w:p>
    <w:p w14:paraId="5964D627" w14:textId="77777777" w:rsidR="00672387" w:rsidRPr="00850CAC" w:rsidRDefault="00672387" w:rsidP="009B26B2">
      <w:pPr>
        <w:pStyle w:val="Footer"/>
        <w:jc w:val="both"/>
        <w:rPr>
          <w:rFonts w:cs="Arial"/>
        </w:rPr>
      </w:pPr>
      <w:r w:rsidRPr="00850CAC">
        <w:rPr>
          <w:rFonts w:cs="Arial"/>
        </w:rPr>
        <w:t>Charges are not made for the board and lodging element of residential activities where the parent/guardian of a pupil is in receipt of the following benefits;</w:t>
      </w:r>
    </w:p>
    <w:p w14:paraId="0C787FD2" w14:textId="77777777" w:rsidR="00672387" w:rsidRPr="00850CAC" w:rsidRDefault="00672387" w:rsidP="009B26B2">
      <w:pPr>
        <w:pStyle w:val="Footer"/>
        <w:numPr>
          <w:ilvl w:val="0"/>
          <w:numId w:val="2"/>
        </w:numPr>
        <w:tabs>
          <w:tab w:val="clear" w:pos="4513"/>
          <w:tab w:val="clear" w:pos="9026"/>
        </w:tabs>
        <w:jc w:val="both"/>
        <w:rPr>
          <w:rFonts w:cs="Arial"/>
        </w:rPr>
      </w:pPr>
      <w:r w:rsidRPr="00850CAC">
        <w:rPr>
          <w:rFonts w:cs="Arial"/>
        </w:rPr>
        <w:t>Free school meals</w:t>
      </w:r>
    </w:p>
    <w:p w14:paraId="05CC531D" w14:textId="77777777" w:rsidR="00672387" w:rsidRPr="00850CAC" w:rsidRDefault="00672387" w:rsidP="009B26B2">
      <w:pPr>
        <w:pStyle w:val="Footer"/>
        <w:numPr>
          <w:ilvl w:val="0"/>
          <w:numId w:val="3"/>
        </w:numPr>
        <w:tabs>
          <w:tab w:val="clear" w:pos="4513"/>
          <w:tab w:val="clear" w:pos="9026"/>
        </w:tabs>
        <w:jc w:val="both"/>
        <w:rPr>
          <w:rFonts w:cs="Arial"/>
        </w:rPr>
      </w:pPr>
      <w:r w:rsidRPr="00850CAC">
        <w:rPr>
          <w:rFonts w:cs="Arial"/>
        </w:rPr>
        <w:t>Income Support</w:t>
      </w:r>
    </w:p>
    <w:p w14:paraId="0A9D3F61" w14:textId="77777777" w:rsidR="00672387" w:rsidRPr="00850CAC" w:rsidRDefault="00672387" w:rsidP="009B26B2">
      <w:pPr>
        <w:pStyle w:val="Footer"/>
        <w:numPr>
          <w:ilvl w:val="0"/>
          <w:numId w:val="3"/>
        </w:numPr>
        <w:tabs>
          <w:tab w:val="clear" w:pos="4513"/>
          <w:tab w:val="clear" w:pos="9026"/>
        </w:tabs>
        <w:jc w:val="both"/>
        <w:rPr>
          <w:rFonts w:cs="Arial"/>
        </w:rPr>
      </w:pPr>
      <w:r w:rsidRPr="00850CAC">
        <w:rPr>
          <w:rFonts w:cs="Arial"/>
        </w:rPr>
        <w:t>Income-based Employment and Support Allowance</w:t>
      </w:r>
      <w:r>
        <w:rPr>
          <w:rFonts w:cs="Arial"/>
        </w:rPr>
        <w:t xml:space="preserve"> </w:t>
      </w:r>
      <w:r w:rsidRPr="00850CAC">
        <w:rPr>
          <w:rFonts w:cs="Arial"/>
        </w:rPr>
        <w:t>Support under part VI of the Immigration &amp; Asylum Act 1999</w:t>
      </w:r>
    </w:p>
    <w:p w14:paraId="4D95166C" w14:textId="77777777" w:rsidR="00672387" w:rsidRPr="00850CAC" w:rsidRDefault="00672387" w:rsidP="009B26B2">
      <w:pPr>
        <w:pStyle w:val="Footer"/>
        <w:numPr>
          <w:ilvl w:val="0"/>
          <w:numId w:val="3"/>
        </w:numPr>
        <w:tabs>
          <w:tab w:val="clear" w:pos="4513"/>
          <w:tab w:val="clear" w:pos="9026"/>
        </w:tabs>
        <w:jc w:val="both"/>
        <w:rPr>
          <w:rFonts w:cs="Arial"/>
        </w:rPr>
      </w:pPr>
      <w:r w:rsidRPr="00850CAC">
        <w:rPr>
          <w:rFonts w:cs="Arial"/>
        </w:rPr>
        <w:t>Child Tax Credit, (provided they are not also entitled to Working Tax Credit and have an annual gross income of no more than £16,190)</w:t>
      </w:r>
    </w:p>
    <w:p w14:paraId="6B8A1130" w14:textId="77777777" w:rsidR="00672387" w:rsidRPr="00850CAC" w:rsidRDefault="00672387" w:rsidP="009B26B2">
      <w:pPr>
        <w:pStyle w:val="Footer"/>
        <w:numPr>
          <w:ilvl w:val="0"/>
          <w:numId w:val="3"/>
        </w:numPr>
        <w:tabs>
          <w:tab w:val="clear" w:pos="4513"/>
          <w:tab w:val="clear" w:pos="9026"/>
        </w:tabs>
        <w:jc w:val="both"/>
        <w:rPr>
          <w:rFonts w:cs="Arial"/>
        </w:rPr>
      </w:pPr>
      <w:r w:rsidRPr="00850CAC">
        <w:rPr>
          <w:rFonts w:cs="Arial"/>
        </w:rPr>
        <w:t>Guarantee element of State Pension Credit</w:t>
      </w:r>
    </w:p>
    <w:p w14:paraId="2AC2441E" w14:textId="77777777" w:rsidR="00672387" w:rsidRPr="00850CAC" w:rsidRDefault="00672387" w:rsidP="009B26B2">
      <w:pPr>
        <w:pStyle w:val="Footer"/>
        <w:numPr>
          <w:ilvl w:val="0"/>
          <w:numId w:val="3"/>
        </w:numPr>
        <w:tabs>
          <w:tab w:val="clear" w:pos="4513"/>
          <w:tab w:val="clear" w:pos="9026"/>
        </w:tabs>
        <w:jc w:val="both"/>
        <w:rPr>
          <w:rFonts w:cs="Arial"/>
        </w:rPr>
      </w:pPr>
      <w:r w:rsidRPr="00850CAC">
        <w:rPr>
          <w:rFonts w:cs="Arial"/>
        </w:rPr>
        <w:t>Working Tax Credit run-on - paid for 4 weeks after they stop qualifying for Working Tax Credit</w:t>
      </w:r>
    </w:p>
    <w:p w14:paraId="79BBF91A" w14:textId="77777777" w:rsidR="00672387" w:rsidRPr="00850CAC" w:rsidRDefault="00672387" w:rsidP="009B26B2">
      <w:pPr>
        <w:pStyle w:val="Footer"/>
        <w:numPr>
          <w:ilvl w:val="0"/>
          <w:numId w:val="3"/>
        </w:numPr>
        <w:tabs>
          <w:tab w:val="clear" w:pos="4513"/>
          <w:tab w:val="clear" w:pos="9026"/>
        </w:tabs>
        <w:jc w:val="both"/>
        <w:rPr>
          <w:rFonts w:cs="Arial"/>
        </w:rPr>
      </w:pPr>
      <w:r w:rsidRPr="00850CAC">
        <w:rPr>
          <w:rFonts w:cs="Arial"/>
        </w:rPr>
        <w:t>Universal Credit - if they apply on or after 1 April 2018 their household income must be less than £7,400 a year (after tax and not including any benefit)</w:t>
      </w:r>
    </w:p>
    <w:p w14:paraId="3B506237" w14:textId="77777777" w:rsidR="00672387" w:rsidRPr="00850CAC" w:rsidRDefault="00672387" w:rsidP="009B26B2">
      <w:pPr>
        <w:pStyle w:val="Footer"/>
        <w:jc w:val="both"/>
        <w:rPr>
          <w:rFonts w:cs="Arial"/>
        </w:rPr>
      </w:pPr>
    </w:p>
    <w:p w14:paraId="15D4B6EB" w14:textId="77777777" w:rsidR="00672387" w:rsidRPr="00C200DB" w:rsidRDefault="00672387" w:rsidP="009B26B2">
      <w:pPr>
        <w:pStyle w:val="Footer"/>
        <w:jc w:val="both"/>
        <w:rPr>
          <w:rFonts w:cs="Arial"/>
          <w:b/>
          <w:bCs/>
        </w:rPr>
      </w:pPr>
      <w:r w:rsidRPr="00C200DB">
        <w:rPr>
          <w:rFonts w:cs="Arial"/>
          <w:b/>
          <w:bCs/>
        </w:rPr>
        <w:t>Activities arranged by a third party</w:t>
      </w:r>
    </w:p>
    <w:p w14:paraId="1C7A0E2B" w14:textId="77777777" w:rsidR="00672387" w:rsidRPr="00C200DB" w:rsidRDefault="00672387" w:rsidP="009B26B2">
      <w:pPr>
        <w:pStyle w:val="Footer"/>
        <w:jc w:val="both"/>
        <w:rPr>
          <w:rFonts w:cs="Arial"/>
        </w:rPr>
      </w:pPr>
    </w:p>
    <w:p w14:paraId="117E5553" w14:textId="77777777" w:rsidR="00672387" w:rsidRPr="00C200DB" w:rsidRDefault="00672387" w:rsidP="009B26B2">
      <w:pPr>
        <w:pStyle w:val="Footer"/>
        <w:jc w:val="both"/>
        <w:rPr>
          <w:rFonts w:cs="Arial"/>
        </w:rPr>
      </w:pPr>
      <w:r w:rsidRPr="00C200DB">
        <w:rPr>
          <w:rFonts w:cs="Arial"/>
        </w:rPr>
        <w:t>Activities arranged by an outside organisation may charge parents. Such an arrangement would not need to meet the L</w:t>
      </w:r>
      <w:r>
        <w:rPr>
          <w:rFonts w:cs="Arial"/>
        </w:rPr>
        <w:t xml:space="preserve">ocal </w:t>
      </w:r>
      <w:r w:rsidRPr="00C200DB">
        <w:rPr>
          <w:rFonts w:cs="Arial"/>
        </w:rPr>
        <w:t>A</w:t>
      </w:r>
      <w:r>
        <w:rPr>
          <w:rFonts w:cs="Arial"/>
        </w:rPr>
        <w:t>uthority’s</w:t>
      </w:r>
      <w:r w:rsidRPr="00C200DB">
        <w:rPr>
          <w:rFonts w:cs="Arial"/>
        </w:rPr>
        <w:t xml:space="preserve"> policies on charging or remissions.</w:t>
      </w:r>
    </w:p>
    <w:p w14:paraId="369C127E" w14:textId="77777777" w:rsidR="00672387" w:rsidRPr="00C200DB" w:rsidRDefault="00672387" w:rsidP="009B26B2">
      <w:pPr>
        <w:pStyle w:val="Footer"/>
        <w:jc w:val="both"/>
        <w:rPr>
          <w:rFonts w:cs="Arial"/>
        </w:rPr>
      </w:pPr>
    </w:p>
    <w:p w14:paraId="1C7E2E3D" w14:textId="77777777" w:rsidR="00672387" w:rsidRDefault="00672387" w:rsidP="009B26B2">
      <w:pPr>
        <w:pStyle w:val="Footer"/>
        <w:jc w:val="both"/>
        <w:rPr>
          <w:rFonts w:cs="Arial"/>
        </w:rPr>
      </w:pPr>
      <w:r w:rsidRPr="00C200DB">
        <w:rPr>
          <w:rFonts w:cs="Arial"/>
        </w:rPr>
        <w:t>Where such visits would entail approval of leave of absence for pupils and teaching/non-teaching staff involved full details will be submitted, through the Governing Body, to the L</w:t>
      </w:r>
      <w:r>
        <w:rPr>
          <w:rFonts w:cs="Arial"/>
        </w:rPr>
        <w:t xml:space="preserve">ocal </w:t>
      </w:r>
      <w:r w:rsidRPr="00C200DB">
        <w:rPr>
          <w:rFonts w:cs="Arial"/>
        </w:rPr>
        <w:t>A</w:t>
      </w:r>
      <w:r>
        <w:rPr>
          <w:rFonts w:cs="Arial"/>
        </w:rPr>
        <w:t>uthority</w:t>
      </w:r>
      <w:r w:rsidRPr="00C200DB">
        <w:rPr>
          <w:rFonts w:cs="Arial"/>
        </w:rPr>
        <w:t xml:space="preserve"> for approval.</w:t>
      </w:r>
    </w:p>
    <w:p w14:paraId="2FC0920F" w14:textId="77777777" w:rsidR="00672387" w:rsidRDefault="00672387" w:rsidP="009B26B2">
      <w:pPr>
        <w:pStyle w:val="Footer"/>
        <w:jc w:val="both"/>
        <w:rPr>
          <w:rFonts w:cs="Arial"/>
        </w:rPr>
      </w:pPr>
    </w:p>
    <w:p w14:paraId="09B01043" w14:textId="77777777" w:rsidR="00672387" w:rsidRDefault="00672387" w:rsidP="009B26B2">
      <w:pPr>
        <w:pStyle w:val="Footer"/>
        <w:jc w:val="both"/>
        <w:rPr>
          <w:rFonts w:cs="Arial"/>
          <w:b/>
        </w:rPr>
      </w:pPr>
      <w:r>
        <w:rPr>
          <w:rFonts w:cs="Arial"/>
          <w:b/>
        </w:rPr>
        <w:t>Charging for damage and vandalism</w:t>
      </w:r>
    </w:p>
    <w:p w14:paraId="426C8067" w14:textId="77777777" w:rsidR="00672387" w:rsidRDefault="00672387" w:rsidP="009B26B2">
      <w:pPr>
        <w:pStyle w:val="Footer"/>
        <w:jc w:val="both"/>
        <w:rPr>
          <w:rFonts w:cs="Arial"/>
          <w:b/>
        </w:rPr>
      </w:pPr>
    </w:p>
    <w:p w14:paraId="4C81B26A" w14:textId="77777777" w:rsidR="00672387" w:rsidRDefault="00672387" w:rsidP="009B26B2">
      <w:pPr>
        <w:jc w:val="both"/>
        <w:rPr>
          <w:rFonts w:cs="Arial"/>
        </w:rPr>
      </w:pPr>
      <w:r>
        <w:rPr>
          <w:rFonts w:cs="Arial"/>
        </w:rPr>
        <w:t xml:space="preserve">When a pupil intentionally damages school property the school will invoice the parents for a contribution towards the cost of replacing any damaged equipment or carrying out any repairs to the building. </w:t>
      </w:r>
    </w:p>
    <w:p w14:paraId="64B57281" w14:textId="56069DAD" w:rsidR="006D6AB7" w:rsidRDefault="006D6AB7" w:rsidP="009B26B2">
      <w:pPr>
        <w:jc w:val="both"/>
      </w:pPr>
    </w:p>
    <w:sectPr w:rsidR="006D6AB7" w:rsidSect="00A646C6">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75F8" w14:textId="77777777" w:rsidR="00243C55" w:rsidRDefault="00243C55" w:rsidP="00A646C6">
      <w:pPr>
        <w:spacing w:after="0" w:line="240" w:lineRule="auto"/>
      </w:pPr>
      <w:r>
        <w:separator/>
      </w:r>
    </w:p>
  </w:endnote>
  <w:endnote w:type="continuationSeparator" w:id="0">
    <w:p w14:paraId="31A03A22" w14:textId="77777777" w:rsidR="00243C55" w:rsidRDefault="00243C55" w:rsidP="00A646C6">
      <w:pPr>
        <w:spacing w:after="0" w:line="240" w:lineRule="auto"/>
      </w:pPr>
      <w:r>
        <w:continuationSeparator/>
      </w:r>
    </w:p>
  </w:endnote>
  <w:endnote w:type="continuationNotice" w:id="1">
    <w:p w14:paraId="231EB239" w14:textId="77777777" w:rsidR="00243C55" w:rsidRDefault="00243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059F" w14:textId="6276D6C6" w:rsidR="00820C13" w:rsidRDefault="009B26B2">
    <w:pPr>
      <w:pStyle w:val="Footer"/>
    </w:pPr>
    <w:r>
      <w:rPr>
        <w:noProof/>
      </w:rPr>
      <w:drawing>
        <wp:inline distT="0" distB="0" distL="0" distR="0" wp14:anchorId="041A493E" wp14:editId="7F7884CB">
          <wp:extent cx="2495550" cy="9906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stretch>
                    <a:fillRect/>
                  </a:stretch>
                </pic:blipFill>
                <pic:spPr>
                  <a:xfrm>
                    <a:off x="0" y="0"/>
                    <a:ext cx="2495550" cy="990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FAE5" w14:textId="77777777" w:rsidR="00243C55" w:rsidRDefault="00243C55" w:rsidP="00A646C6">
      <w:pPr>
        <w:spacing w:after="0" w:line="240" w:lineRule="auto"/>
      </w:pPr>
      <w:r>
        <w:separator/>
      </w:r>
    </w:p>
  </w:footnote>
  <w:footnote w:type="continuationSeparator" w:id="0">
    <w:p w14:paraId="70C1289B" w14:textId="77777777" w:rsidR="00243C55" w:rsidRDefault="00243C55" w:rsidP="00A646C6">
      <w:pPr>
        <w:spacing w:after="0" w:line="240" w:lineRule="auto"/>
      </w:pPr>
      <w:r>
        <w:continuationSeparator/>
      </w:r>
    </w:p>
  </w:footnote>
  <w:footnote w:type="continuationNotice" w:id="1">
    <w:p w14:paraId="4EDCF261" w14:textId="77777777" w:rsidR="00243C55" w:rsidRDefault="00243C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C6E"/>
    <w:multiLevelType w:val="hybridMultilevel"/>
    <w:tmpl w:val="459A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6568D0"/>
    <w:multiLevelType w:val="hybridMultilevel"/>
    <w:tmpl w:val="9FC002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2F39B6"/>
    <w:multiLevelType w:val="hybridMultilevel"/>
    <w:tmpl w:val="3258E4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C6"/>
    <w:rsid w:val="00014DE9"/>
    <w:rsid w:val="0006527C"/>
    <w:rsid w:val="00084423"/>
    <w:rsid w:val="000846AE"/>
    <w:rsid w:val="00095AF8"/>
    <w:rsid w:val="000F1676"/>
    <w:rsid w:val="001F1733"/>
    <w:rsid w:val="00243C55"/>
    <w:rsid w:val="00295D09"/>
    <w:rsid w:val="002B27D4"/>
    <w:rsid w:val="0037345A"/>
    <w:rsid w:val="00450FB8"/>
    <w:rsid w:val="00473DB4"/>
    <w:rsid w:val="00491833"/>
    <w:rsid w:val="004C31C1"/>
    <w:rsid w:val="004C3BF3"/>
    <w:rsid w:val="004D5B72"/>
    <w:rsid w:val="00502D54"/>
    <w:rsid w:val="00515CF5"/>
    <w:rsid w:val="00597D5C"/>
    <w:rsid w:val="005A74B3"/>
    <w:rsid w:val="005F3F56"/>
    <w:rsid w:val="00622CC5"/>
    <w:rsid w:val="00625E49"/>
    <w:rsid w:val="00637AFF"/>
    <w:rsid w:val="00672387"/>
    <w:rsid w:val="006D6AB7"/>
    <w:rsid w:val="006D77F3"/>
    <w:rsid w:val="00732D32"/>
    <w:rsid w:val="0073462E"/>
    <w:rsid w:val="00753B4E"/>
    <w:rsid w:val="00785BB7"/>
    <w:rsid w:val="007B63C9"/>
    <w:rsid w:val="008038EC"/>
    <w:rsid w:val="00820C13"/>
    <w:rsid w:val="0083259A"/>
    <w:rsid w:val="008512DF"/>
    <w:rsid w:val="00861C25"/>
    <w:rsid w:val="00875F29"/>
    <w:rsid w:val="00883769"/>
    <w:rsid w:val="00894293"/>
    <w:rsid w:val="008B5837"/>
    <w:rsid w:val="00944C27"/>
    <w:rsid w:val="00976751"/>
    <w:rsid w:val="00995FF5"/>
    <w:rsid w:val="009A15AF"/>
    <w:rsid w:val="009B26B2"/>
    <w:rsid w:val="009C3AA1"/>
    <w:rsid w:val="009C72CA"/>
    <w:rsid w:val="00A06DBD"/>
    <w:rsid w:val="00A1639E"/>
    <w:rsid w:val="00A646C6"/>
    <w:rsid w:val="00A651B2"/>
    <w:rsid w:val="00AE2950"/>
    <w:rsid w:val="00B22BC9"/>
    <w:rsid w:val="00BA67D4"/>
    <w:rsid w:val="00CE7E9D"/>
    <w:rsid w:val="00D63F49"/>
    <w:rsid w:val="00DA0DB1"/>
    <w:rsid w:val="00E02B1E"/>
    <w:rsid w:val="00E12EDE"/>
    <w:rsid w:val="00E34C98"/>
    <w:rsid w:val="00E45AEA"/>
    <w:rsid w:val="00EB1D47"/>
    <w:rsid w:val="00ED0C13"/>
    <w:rsid w:val="00F22FE3"/>
    <w:rsid w:val="00F24C7B"/>
    <w:rsid w:val="00F54D4B"/>
    <w:rsid w:val="00FD6643"/>
    <w:rsid w:val="176C7686"/>
    <w:rsid w:val="4F99B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FEC8"/>
  <w15:chartTrackingRefBased/>
  <w15:docId w15:val="{DB516764-3252-4842-881D-E307FC49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6C6"/>
  </w:style>
  <w:style w:type="paragraph" w:styleId="Footer">
    <w:name w:val="footer"/>
    <w:basedOn w:val="Normal"/>
    <w:link w:val="FooterChar"/>
    <w:unhideWhenUsed/>
    <w:rsid w:val="00A646C6"/>
    <w:pPr>
      <w:tabs>
        <w:tab w:val="center" w:pos="4513"/>
        <w:tab w:val="right" w:pos="9026"/>
      </w:tabs>
      <w:spacing w:after="0" w:line="240" w:lineRule="auto"/>
    </w:pPr>
  </w:style>
  <w:style w:type="character" w:customStyle="1" w:styleId="FooterChar">
    <w:name w:val="Footer Char"/>
    <w:basedOn w:val="DefaultParagraphFont"/>
    <w:link w:val="Footer"/>
    <w:rsid w:val="00A646C6"/>
  </w:style>
  <w:style w:type="table" w:styleId="GridTable4-Accent5">
    <w:name w:val="Grid Table 4 Accent 5"/>
    <w:basedOn w:val="TableNormal"/>
    <w:uiPriority w:val="49"/>
    <w:rsid w:val="00A646C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861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SharedWithUsers xmlns="0d6a633c-6b7e-41c5-a69f-262fdf1fa0d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8AFED-AD22-4409-BC68-712EBD7A2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A700A-C2C8-4ED7-8EE9-F8F0756BB8A0}">
  <ds:schemaRefs>
    <ds:schemaRef ds:uri="http://schemas.openxmlformats.org/package/2006/metadata/core-properties"/>
    <ds:schemaRef ds:uri="831a0f77-12cb-498d-a652-6fd8b2e02d00"/>
    <ds:schemaRef ds:uri="http://purl.org/dc/dcmitype/"/>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0d6a633c-6b7e-41c5-a69f-262fdf1fa0d4"/>
  </ds:schemaRefs>
</ds:datastoreItem>
</file>

<file path=customXml/itemProps3.xml><?xml version="1.0" encoding="utf-8"?>
<ds:datastoreItem xmlns:ds="http://schemas.openxmlformats.org/officeDocument/2006/customXml" ds:itemID="{03581DCA-ECFE-4AA2-90AC-69FAFBCC5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Jones</dc:creator>
  <cp:keywords/>
  <dc:description/>
  <cp:lastModifiedBy>Fiona Mooney</cp:lastModifiedBy>
  <cp:revision>6</cp:revision>
  <dcterms:created xsi:type="dcterms:W3CDTF">2025-04-28T12:56:00Z</dcterms:created>
  <dcterms:modified xsi:type="dcterms:W3CDTF">2025-07-04T10:21:00Z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Order">
    <vt:r8>244200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